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B5D" w:rsidRDefault="00C24B5D" w:rsidP="00C24B5D">
      <w:pPr>
        <w:jc w:val="left"/>
        <w:outlineLvl w:val="2"/>
        <w:rPr>
          <w:rFonts w:asciiTheme="minorHAnsi" w:eastAsia="Times New Roman" w:hAnsiTheme="minorHAnsi" w:cstheme="minorHAnsi"/>
          <w:b/>
          <w:bCs/>
          <w:sz w:val="22"/>
          <w:szCs w:val="22"/>
          <w:lang w:eastAsia="en-GB"/>
        </w:rPr>
      </w:pPr>
    </w:p>
    <w:p w:rsidR="00C24B5D" w:rsidRPr="000C413A" w:rsidRDefault="00C24B5D" w:rsidP="00C24B5D">
      <w:pPr>
        <w:jc w:val="left"/>
        <w:rPr>
          <w:rFonts w:asciiTheme="minorHAnsi" w:hAnsiTheme="minorHAnsi" w:cstheme="minorHAnsi"/>
          <w:b/>
          <w:color w:val="000000" w:themeColor="text1"/>
          <w:sz w:val="40"/>
          <w:szCs w:val="40"/>
          <w:lang w:val="fr-FR"/>
        </w:rPr>
      </w:pPr>
      <w:r w:rsidRPr="000C413A">
        <w:rPr>
          <w:rFonts w:asciiTheme="minorHAnsi" w:hAnsiTheme="minorHAnsi" w:cstheme="minorHAnsi"/>
          <w:b/>
          <w:color w:val="000000" w:themeColor="text1"/>
          <w:sz w:val="40"/>
          <w:szCs w:val="40"/>
          <w:lang w:val="fr-FR"/>
        </w:rPr>
        <w:t>_____________________________________________</w:t>
      </w:r>
    </w:p>
    <w:p w:rsidR="00C24B5D" w:rsidRPr="000C413A" w:rsidRDefault="00C24B5D" w:rsidP="00C24B5D">
      <w:pPr>
        <w:jc w:val="left"/>
        <w:rPr>
          <w:rFonts w:asciiTheme="minorHAnsi" w:hAnsiTheme="minorHAnsi" w:cstheme="minorHAnsi"/>
          <w:b/>
          <w:color w:val="000000" w:themeColor="text1"/>
          <w:lang w:val="fr-FR"/>
        </w:rPr>
      </w:pPr>
    </w:p>
    <w:p w:rsidR="00C24B5D" w:rsidRPr="00C24B5D" w:rsidRDefault="00C24B5D" w:rsidP="00C24B5D">
      <w:pPr>
        <w:jc w:val="left"/>
        <w:rPr>
          <w:rFonts w:asciiTheme="minorHAnsi" w:hAnsiTheme="minorHAnsi" w:cstheme="minorHAnsi"/>
          <w:b/>
          <w:color w:val="000000" w:themeColor="text1"/>
          <w:lang w:val="fr-FR"/>
        </w:rPr>
      </w:pPr>
      <w:r w:rsidRPr="00C24B5D">
        <w:rPr>
          <w:rFonts w:asciiTheme="minorHAnsi" w:hAnsiTheme="minorHAnsi" w:cstheme="minorHAnsi"/>
          <w:b/>
          <w:color w:val="000000" w:themeColor="text1"/>
          <w:sz w:val="40"/>
          <w:szCs w:val="40"/>
          <w:lang w:val="fr-FR"/>
        </w:rPr>
        <w:t>Ordre du Jour de la IIIe Assemblée Générale de RENEWPAC</w:t>
      </w:r>
    </w:p>
    <w:p w:rsidR="00C24B5D" w:rsidRDefault="00C24B5D" w:rsidP="00C24B5D">
      <w:pPr>
        <w:jc w:val="left"/>
        <w:rPr>
          <w:rFonts w:asciiTheme="minorHAnsi" w:hAnsiTheme="minorHAnsi" w:cstheme="minorHAnsi"/>
          <w:b/>
          <w:color w:val="000000" w:themeColor="text1"/>
          <w:sz w:val="28"/>
          <w:szCs w:val="28"/>
          <w:lang w:val="fr-FR"/>
        </w:rPr>
      </w:pPr>
      <w:r w:rsidRPr="00C24B5D">
        <w:rPr>
          <w:rFonts w:asciiTheme="minorHAnsi" w:hAnsiTheme="minorHAnsi" w:cstheme="minorHAnsi"/>
          <w:b/>
          <w:color w:val="000000" w:themeColor="text1"/>
          <w:sz w:val="28"/>
          <w:szCs w:val="28"/>
          <w:lang w:val="fr-FR"/>
        </w:rPr>
        <w:t>À réunir au Sofitel Abidjan, Abi</w:t>
      </w:r>
      <w:r w:rsidR="000C413A">
        <w:rPr>
          <w:rFonts w:asciiTheme="minorHAnsi" w:hAnsiTheme="minorHAnsi" w:cstheme="minorHAnsi"/>
          <w:b/>
          <w:color w:val="000000" w:themeColor="text1"/>
          <w:sz w:val="28"/>
          <w:szCs w:val="28"/>
          <w:lang w:val="fr-FR"/>
        </w:rPr>
        <w:t>djan, Côte d’Ivoire, le lundi 24</w:t>
      </w:r>
      <w:bookmarkStart w:id="0" w:name="_GoBack"/>
      <w:bookmarkEnd w:id="0"/>
      <w:r w:rsidRPr="00C24B5D">
        <w:rPr>
          <w:rFonts w:asciiTheme="minorHAnsi" w:hAnsiTheme="minorHAnsi" w:cstheme="minorHAnsi"/>
          <w:b/>
          <w:color w:val="000000" w:themeColor="text1"/>
          <w:sz w:val="28"/>
          <w:szCs w:val="28"/>
          <w:lang w:val="fr-FR"/>
        </w:rPr>
        <w:t xml:space="preserve"> février 2025, de 09h00 à 10h30</w:t>
      </w:r>
    </w:p>
    <w:p w:rsidR="00C24B5D" w:rsidRPr="00C24B5D" w:rsidRDefault="00C24B5D" w:rsidP="00C24B5D">
      <w:pPr>
        <w:jc w:val="left"/>
        <w:rPr>
          <w:rFonts w:asciiTheme="minorHAnsi" w:hAnsiTheme="minorHAnsi" w:cstheme="minorHAnsi"/>
          <w:b/>
          <w:color w:val="000000" w:themeColor="text1"/>
          <w:sz w:val="28"/>
          <w:szCs w:val="28"/>
          <w:lang w:val="fr-FR"/>
        </w:rPr>
      </w:pPr>
    </w:p>
    <w:p w:rsidR="00C24B5D" w:rsidRPr="00C24B5D" w:rsidRDefault="00C24B5D" w:rsidP="00C24B5D">
      <w:pPr>
        <w:numPr>
          <w:ilvl w:val="0"/>
          <w:numId w:val="1"/>
        </w:numPr>
        <w:jc w:val="left"/>
        <w:rPr>
          <w:rFonts w:asciiTheme="minorHAnsi" w:eastAsia="Times New Roman" w:hAnsiTheme="minorHAnsi" w:cstheme="minorHAnsi"/>
          <w:b/>
          <w:sz w:val="22"/>
          <w:szCs w:val="22"/>
          <w:lang w:eastAsia="en-GB"/>
        </w:rPr>
      </w:pPr>
      <w:r w:rsidRPr="00C24B5D">
        <w:rPr>
          <w:rFonts w:asciiTheme="minorHAnsi" w:eastAsia="Times New Roman" w:hAnsiTheme="minorHAnsi" w:cstheme="minorHAnsi"/>
          <w:b/>
          <w:sz w:val="22"/>
          <w:szCs w:val="22"/>
          <w:lang w:eastAsia="en-GB"/>
        </w:rPr>
        <w:t>Remarques d'ouverture</w:t>
      </w:r>
    </w:p>
    <w:p w:rsidR="00C24B5D" w:rsidRPr="001D69B3" w:rsidRDefault="00C24B5D" w:rsidP="00C24B5D">
      <w:pPr>
        <w:ind w:left="720"/>
        <w:jc w:val="left"/>
        <w:rPr>
          <w:rFonts w:asciiTheme="minorHAnsi" w:eastAsia="Times New Roman" w:hAnsiTheme="minorHAnsi" w:cstheme="minorHAnsi"/>
          <w:sz w:val="22"/>
          <w:szCs w:val="22"/>
          <w:lang w:eastAsia="en-GB"/>
        </w:rPr>
      </w:pPr>
    </w:p>
    <w:p w:rsidR="00C24B5D" w:rsidRPr="00C24B5D" w:rsidRDefault="00C24B5D" w:rsidP="00C24B5D">
      <w:pPr>
        <w:numPr>
          <w:ilvl w:val="0"/>
          <w:numId w:val="1"/>
        </w:numPr>
        <w:jc w:val="left"/>
        <w:rPr>
          <w:rFonts w:asciiTheme="minorHAnsi" w:eastAsia="Times New Roman" w:hAnsiTheme="minorHAnsi" w:cstheme="minorHAnsi"/>
          <w:b/>
          <w:sz w:val="22"/>
          <w:szCs w:val="22"/>
          <w:lang w:eastAsia="en-GB"/>
        </w:rPr>
      </w:pPr>
      <w:r w:rsidRPr="00C24B5D">
        <w:rPr>
          <w:rFonts w:asciiTheme="minorHAnsi" w:eastAsia="Times New Roman" w:hAnsiTheme="minorHAnsi" w:cstheme="minorHAnsi"/>
          <w:b/>
          <w:sz w:val="22"/>
          <w:szCs w:val="22"/>
          <w:lang w:eastAsia="en-GB"/>
        </w:rPr>
        <w:t>Adoption de l'ordre du jour</w:t>
      </w:r>
    </w:p>
    <w:p w:rsidR="00C24B5D" w:rsidRPr="001D69B3" w:rsidRDefault="00C24B5D" w:rsidP="00C24B5D">
      <w:pPr>
        <w:ind w:left="720"/>
        <w:jc w:val="left"/>
        <w:rPr>
          <w:rFonts w:asciiTheme="minorHAnsi" w:eastAsia="Times New Roman" w:hAnsiTheme="minorHAnsi" w:cstheme="minorHAnsi"/>
          <w:sz w:val="22"/>
          <w:szCs w:val="22"/>
          <w:lang w:eastAsia="en-GB"/>
        </w:rPr>
      </w:pPr>
    </w:p>
    <w:p w:rsidR="00C24B5D" w:rsidRPr="00C24B5D" w:rsidRDefault="00C24B5D" w:rsidP="00C24B5D">
      <w:pPr>
        <w:numPr>
          <w:ilvl w:val="0"/>
          <w:numId w:val="1"/>
        </w:numPr>
        <w:jc w:val="left"/>
        <w:rPr>
          <w:rFonts w:asciiTheme="minorHAnsi" w:eastAsia="Times New Roman" w:hAnsiTheme="minorHAnsi" w:cstheme="minorHAnsi"/>
          <w:b/>
          <w:sz w:val="22"/>
          <w:szCs w:val="22"/>
          <w:lang w:eastAsia="en-GB"/>
        </w:rPr>
      </w:pPr>
      <w:r w:rsidRPr="00C24B5D">
        <w:rPr>
          <w:rFonts w:asciiTheme="minorHAnsi" w:eastAsia="Times New Roman" w:hAnsiTheme="minorHAnsi" w:cstheme="minorHAnsi"/>
          <w:b/>
          <w:sz w:val="22"/>
          <w:szCs w:val="22"/>
          <w:lang w:eastAsia="en-GB"/>
        </w:rPr>
        <w:t>Annonces du président</w:t>
      </w:r>
    </w:p>
    <w:p w:rsidR="00C24B5D" w:rsidRDefault="00C24B5D" w:rsidP="00C24B5D">
      <w:pPr>
        <w:ind w:left="720"/>
        <w:jc w:val="left"/>
        <w:rPr>
          <w:rFonts w:asciiTheme="minorHAnsi" w:eastAsia="Times New Roman" w:hAnsiTheme="minorHAnsi" w:cstheme="minorHAnsi"/>
          <w:sz w:val="22"/>
          <w:szCs w:val="22"/>
          <w:lang w:eastAsia="en-GB"/>
        </w:rPr>
      </w:pPr>
    </w:p>
    <w:p w:rsidR="00C24B5D" w:rsidRPr="00C24B5D" w:rsidRDefault="00C24B5D" w:rsidP="00C24B5D">
      <w:pPr>
        <w:numPr>
          <w:ilvl w:val="0"/>
          <w:numId w:val="1"/>
        </w:numPr>
        <w:jc w:val="left"/>
        <w:rPr>
          <w:rFonts w:asciiTheme="minorHAnsi" w:eastAsia="Times New Roman" w:hAnsiTheme="minorHAnsi" w:cstheme="minorHAnsi"/>
          <w:b/>
          <w:sz w:val="22"/>
          <w:szCs w:val="22"/>
          <w:lang w:val="fr-FR" w:eastAsia="en-GB"/>
        </w:rPr>
      </w:pPr>
      <w:r w:rsidRPr="00C24B5D">
        <w:rPr>
          <w:rFonts w:asciiTheme="minorHAnsi" w:eastAsia="Times New Roman" w:hAnsiTheme="minorHAnsi" w:cstheme="minorHAnsi"/>
          <w:b/>
          <w:sz w:val="22"/>
          <w:szCs w:val="22"/>
          <w:lang w:val="fr-FR" w:eastAsia="en-GB"/>
        </w:rPr>
        <w:t>Présentation et ratification du nouveau co-président et co-vice-président africains</w:t>
      </w:r>
    </w:p>
    <w:p w:rsidR="00C24B5D" w:rsidRPr="00C24B5D" w:rsidRDefault="00C24B5D" w:rsidP="00C24B5D">
      <w:pPr>
        <w:ind w:left="720"/>
        <w:jc w:val="left"/>
        <w:rPr>
          <w:rFonts w:asciiTheme="minorHAnsi" w:eastAsia="Times New Roman" w:hAnsiTheme="minorHAnsi" w:cstheme="minorHAnsi"/>
          <w:sz w:val="22"/>
          <w:szCs w:val="22"/>
          <w:lang w:val="fr-FR" w:eastAsia="en-GB"/>
        </w:rPr>
      </w:pPr>
    </w:p>
    <w:p w:rsidR="00C24B5D" w:rsidRPr="00C24B5D" w:rsidRDefault="00C24B5D" w:rsidP="00C24B5D">
      <w:pPr>
        <w:numPr>
          <w:ilvl w:val="0"/>
          <w:numId w:val="2"/>
        </w:numPr>
        <w:jc w:val="left"/>
        <w:rPr>
          <w:rFonts w:asciiTheme="minorHAnsi" w:eastAsia="Times New Roman" w:hAnsiTheme="minorHAnsi" w:cstheme="minorHAnsi"/>
          <w:sz w:val="22"/>
          <w:szCs w:val="22"/>
          <w:lang w:val="fr-FR" w:eastAsia="en-GB"/>
        </w:rPr>
      </w:pPr>
      <w:r w:rsidRPr="00C24B5D">
        <w:rPr>
          <w:rFonts w:asciiTheme="minorHAnsi" w:eastAsia="Times New Roman" w:hAnsiTheme="minorHAnsi" w:cstheme="minorHAnsi"/>
          <w:sz w:val="22"/>
          <w:szCs w:val="22"/>
          <w:lang w:val="fr-FR" w:eastAsia="en-GB"/>
        </w:rPr>
        <w:t>Introduction et ratification par l’Assemblée Générale du nouveau co-président et c</w:t>
      </w:r>
      <w:r>
        <w:rPr>
          <w:rFonts w:asciiTheme="minorHAnsi" w:eastAsia="Times New Roman" w:hAnsiTheme="minorHAnsi" w:cstheme="minorHAnsi"/>
          <w:sz w:val="22"/>
          <w:szCs w:val="22"/>
          <w:lang w:val="fr-FR" w:eastAsia="en-GB"/>
        </w:rPr>
        <w:t>o-vice-président africains élus</w:t>
      </w:r>
      <w:r w:rsidRPr="00C24B5D">
        <w:rPr>
          <w:rFonts w:asciiTheme="minorHAnsi" w:eastAsia="Times New Roman" w:hAnsiTheme="minorHAnsi" w:cstheme="minorHAnsi"/>
          <w:sz w:val="22"/>
          <w:szCs w:val="22"/>
          <w:lang w:val="fr-FR" w:eastAsia="en-GB"/>
        </w:rPr>
        <w:t>.</w:t>
      </w:r>
    </w:p>
    <w:p w:rsidR="00C24B5D" w:rsidRPr="00C24B5D" w:rsidRDefault="00C24B5D" w:rsidP="00C24B5D">
      <w:pPr>
        <w:ind w:left="720"/>
        <w:jc w:val="left"/>
        <w:rPr>
          <w:rFonts w:asciiTheme="minorHAnsi" w:eastAsia="Times New Roman" w:hAnsiTheme="minorHAnsi" w:cstheme="minorHAnsi"/>
          <w:sz w:val="22"/>
          <w:szCs w:val="22"/>
          <w:lang w:val="fr-FR" w:eastAsia="en-GB"/>
        </w:rPr>
      </w:pPr>
    </w:p>
    <w:p w:rsidR="00C24B5D" w:rsidRPr="00C24B5D" w:rsidRDefault="00C24B5D" w:rsidP="00C24B5D">
      <w:pPr>
        <w:numPr>
          <w:ilvl w:val="0"/>
          <w:numId w:val="2"/>
        </w:numPr>
        <w:jc w:val="left"/>
        <w:rPr>
          <w:rFonts w:asciiTheme="minorHAnsi" w:eastAsia="Times New Roman" w:hAnsiTheme="minorHAnsi" w:cstheme="minorHAnsi"/>
          <w:sz w:val="22"/>
          <w:szCs w:val="22"/>
          <w:lang w:val="fr-FR" w:eastAsia="en-GB"/>
        </w:rPr>
      </w:pPr>
      <w:r w:rsidRPr="00C24B5D">
        <w:rPr>
          <w:rFonts w:asciiTheme="minorHAnsi" w:eastAsia="Times New Roman" w:hAnsiTheme="minorHAnsi" w:cstheme="minorHAnsi"/>
          <w:sz w:val="22"/>
          <w:szCs w:val="22"/>
          <w:lang w:val="fr-FR" w:eastAsia="en-GB"/>
        </w:rPr>
        <w:t xml:space="preserve">Discours du nouveau co-président africain de RenewPAC </w:t>
      </w:r>
    </w:p>
    <w:p w:rsidR="00C24B5D" w:rsidRPr="00C24B5D" w:rsidRDefault="00C24B5D" w:rsidP="00C24B5D">
      <w:pPr>
        <w:ind w:left="720"/>
        <w:jc w:val="left"/>
        <w:rPr>
          <w:rFonts w:asciiTheme="minorHAnsi" w:eastAsia="Times New Roman" w:hAnsiTheme="minorHAnsi" w:cstheme="minorHAnsi"/>
          <w:sz w:val="22"/>
          <w:szCs w:val="22"/>
          <w:lang w:val="fr-FR" w:eastAsia="en-GB"/>
        </w:rPr>
      </w:pPr>
    </w:p>
    <w:p w:rsidR="00C24B5D" w:rsidRPr="00C24B5D" w:rsidRDefault="00C24B5D" w:rsidP="00C24B5D">
      <w:pPr>
        <w:numPr>
          <w:ilvl w:val="0"/>
          <w:numId w:val="2"/>
        </w:numPr>
        <w:jc w:val="left"/>
        <w:rPr>
          <w:rFonts w:asciiTheme="minorHAnsi" w:eastAsia="Times New Roman" w:hAnsiTheme="minorHAnsi" w:cstheme="minorHAnsi"/>
          <w:sz w:val="22"/>
          <w:szCs w:val="22"/>
          <w:lang w:val="fr-FR" w:eastAsia="en-GB"/>
        </w:rPr>
      </w:pPr>
      <w:r w:rsidRPr="00C24B5D">
        <w:rPr>
          <w:rFonts w:asciiTheme="minorHAnsi" w:eastAsia="Times New Roman" w:hAnsiTheme="minorHAnsi" w:cstheme="minorHAnsi"/>
          <w:sz w:val="22"/>
          <w:szCs w:val="22"/>
          <w:lang w:val="fr-FR" w:eastAsia="en-GB"/>
        </w:rPr>
        <w:t xml:space="preserve">Discours du nouveau co-vice-président africain de RenewPAC </w:t>
      </w:r>
    </w:p>
    <w:p w:rsidR="00C24B5D" w:rsidRPr="00C24B5D" w:rsidRDefault="00C24B5D" w:rsidP="00C24B5D">
      <w:pPr>
        <w:jc w:val="left"/>
        <w:rPr>
          <w:rFonts w:asciiTheme="minorHAnsi" w:eastAsia="Times New Roman" w:hAnsiTheme="minorHAnsi" w:cstheme="minorHAnsi"/>
          <w:sz w:val="22"/>
          <w:szCs w:val="22"/>
          <w:lang w:val="fr-FR" w:eastAsia="en-GB"/>
        </w:rPr>
      </w:pPr>
    </w:p>
    <w:p w:rsidR="00C24B5D" w:rsidRPr="00C24B5D" w:rsidRDefault="00C24B5D" w:rsidP="00C24B5D">
      <w:pPr>
        <w:ind w:left="720"/>
        <w:jc w:val="left"/>
        <w:rPr>
          <w:rFonts w:asciiTheme="minorHAnsi" w:eastAsia="Times New Roman" w:hAnsiTheme="minorHAnsi" w:cstheme="minorHAnsi"/>
          <w:sz w:val="22"/>
          <w:szCs w:val="22"/>
          <w:lang w:val="fr-FR" w:eastAsia="en-GB"/>
        </w:rPr>
      </w:pPr>
    </w:p>
    <w:p w:rsidR="00C24B5D" w:rsidRPr="00C24B5D" w:rsidRDefault="00C24B5D" w:rsidP="00C24B5D">
      <w:pPr>
        <w:numPr>
          <w:ilvl w:val="0"/>
          <w:numId w:val="1"/>
        </w:numPr>
        <w:jc w:val="left"/>
        <w:rPr>
          <w:rFonts w:asciiTheme="minorHAnsi" w:eastAsia="Times New Roman" w:hAnsiTheme="minorHAnsi" w:cstheme="minorHAnsi"/>
          <w:b/>
          <w:sz w:val="22"/>
          <w:szCs w:val="22"/>
          <w:lang w:val="fr-FR" w:eastAsia="en-GB"/>
        </w:rPr>
      </w:pPr>
      <w:r w:rsidRPr="00C24B5D">
        <w:rPr>
          <w:rFonts w:asciiTheme="minorHAnsi" w:eastAsia="Times New Roman" w:hAnsiTheme="minorHAnsi" w:cstheme="minorHAnsi"/>
          <w:b/>
          <w:sz w:val="22"/>
          <w:szCs w:val="22"/>
          <w:lang w:val="fr-FR" w:eastAsia="en-GB"/>
        </w:rPr>
        <w:t>Renforcer le Partenariat : Une Vision pour 2025 et au-delà</w:t>
      </w:r>
    </w:p>
    <w:p w:rsidR="00C24B5D" w:rsidRPr="00C24B5D" w:rsidRDefault="00C24B5D" w:rsidP="00C24B5D">
      <w:pPr>
        <w:ind w:left="720"/>
        <w:jc w:val="left"/>
        <w:rPr>
          <w:rFonts w:asciiTheme="minorHAnsi" w:eastAsia="Times New Roman" w:hAnsiTheme="minorHAnsi" w:cstheme="minorHAnsi"/>
          <w:sz w:val="22"/>
          <w:szCs w:val="22"/>
          <w:lang w:val="fr-FR" w:eastAsia="en-GB"/>
        </w:rPr>
      </w:pPr>
    </w:p>
    <w:p w:rsidR="00C24B5D" w:rsidRDefault="00C24B5D" w:rsidP="00C24B5D">
      <w:pPr>
        <w:ind w:left="720"/>
        <w:jc w:val="left"/>
        <w:rPr>
          <w:rFonts w:asciiTheme="minorHAnsi" w:eastAsia="Times New Roman" w:hAnsiTheme="minorHAnsi" w:cstheme="minorHAnsi"/>
          <w:i/>
          <w:sz w:val="22"/>
          <w:szCs w:val="22"/>
          <w:lang w:val="fr-FR" w:eastAsia="en-GB"/>
        </w:rPr>
      </w:pPr>
      <w:r w:rsidRPr="00C24B5D">
        <w:rPr>
          <w:rFonts w:asciiTheme="minorHAnsi" w:eastAsia="Times New Roman" w:hAnsiTheme="minorHAnsi" w:cstheme="minorHAnsi"/>
          <w:i/>
          <w:sz w:val="22"/>
          <w:szCs w:val="22"/>
          <w:lang w:val="fr-FR" w:eastAsia="en-GB"/>
        </w:rPr>
        <w:t>Une intervention prospective axée sur le potentiel des partenariats libéraux entre l’UE et l’Afrique pour favoriser les avancées en matière de gouvernance, de croissance économique et de développement durable.</w:t>
      </w:r>
    </w:p>
    <w:p w:rsidR="00C24B5D" w:rsidRPr="00C24B5D" w:rsidRDefault="00C24B5D" w:rsidP="00C24B5D">
      <w:pPr>
        <w:ind w:left="720"/>
        <w:jc w:val="left"/>
        <w:rPr>
          <w:rFonts w:asciiTheme="minorHAnsi" w:eastAsia="Times New Roman" w:hAnsiTheme="minorHAnsi" w:cstheme="minorHAnsi"/>
          <w:sz w:val="22"/>
          <w:szCs w:val="22"/>
          <w:lang w:val="fr-FR" w:eastAsia="en-GB"/>
        </w:rPr>
      </w:pPr>
    </w:p>
    <w:p w:rsidR="00C24B5D" w:rsidRPr="00C24B5D" w:rsidRDefault="00C24B5D" w:rsidP="00C24B5D">
      <w:pPr>
        <w:numPr>
          <w:ilvl w:val="0"/>
          <w:numId w:val="1"/>
        </w:numPr>
        <w:jc w:val="left"/>
        <w:rPr>
          <w:rFonts w:asciiTheme="minorHAnsi" w:eastAsia="Times New Roman" w:hAnsiTheme="minorHAnsi" w:cstheme="minorHAnsi"/>
          <w:b/>
          <w:sz w:val="22"/>
          <w:szCs w:val="22"/>
          <w:lang w:eastAsia="en-GB"/>
        </w:rPr>
      </w:pPr>
      <w:r w:rsidRPr="00C24B5D">
        <w:rPr>
          <w:rFonts w:asciiTheme="minorHAnsi" w:eastAsia="Times New Roman" w:hAnsiTheme="minorHAnsi" w:cstheme="minorHAnsi"/>
          <w:b/>
          <w:sz w:val="22"/>
          <w:szCs w:val="22"/>
          <w:lang w:eastAsia="en-GB"/>
        </w:rPr>
        <w:t>Présentation de la Déclaration RenewPAC</w:t>
      </w:r>
    </w:p>
    <w:p w:rsidR="00C24B5D" w:rsidRDefault="00C24B5D" w:rsidP="00C24B5D">
      <w:pPr>
        <w:ind w:left="720"/>
        <w:jc w:val="left"/>
        <w:rPr>
          <w:rFonts w:asciiTheme="minorHAnsi" w:eastAsia="Times New Roman" w:hAnsiTheme="minorHAnsi" w:cstheme="minorHAnsi"/>
          <w:sz w:val="22"/>
          <w:szCs w:val="22"/>
          <w:lang w:eastAsia="en-GB"/>
        </w:rPr>
      </w:pPr>
    </w:p>
    <w:p w:rsidR="00C24B5D" w:rsidRPr="00C24B5D" w:rsidRDefault="00C24B5D" w:rsidP="00C24B5D">
      <w:pPr>
        <w:ind w:left="720"/>
        <w:jc w:val="left"/>
        <w:rPr>
          <w:rFonts w:asciiTheme="minorHAnsi" w:eastAsia="Times New Roman" w:hAnsiTheme="minorHAnsi" w:cstheme="minorHAnsi"/>
          <w:i/>
          <w:sz w:val="22"/>
          <w:szCs w:val="22"/>
          <w:lang w:val="fr-FR" w:eastAsia="en-GB"/>
        </w:rPr>
      </w:pPr>
      <w:r>
        <w:rPr>
          <w:rFonts w:asciiTheme="minorHAnsi" w:eastAsia="Times New Roman" w:hAnsiTheme="minorHAnsi" w:cstheme="minorHAnsi"/>
          <w:i/>
          <w:sz w:val="22"/>
          <w:szCs w:val="22"/>
          <w:lang w:val="fr-FR" w:eastAsia="en-GB"/>
        </w:rPr>
        <w:t>I</w:t>
      </w:r>
      <w:r w:rsidRPr="00C24B5D">
        <w:rPr>
          <w:rFonts w:asciiTheme="minorHAnsi" w:eastAsia="Times New Roman" w:hAnsiTheme="minorHAnsi" w:cstheme="minorHAnsi"/>
          <w:i/>
          <w:sz w:val="22"/>
          <w:szCs w:val="22"/>
          <w:lang w:val="fr-FR" w:eastAsia="en-GB"/>
        </w:rPr>
        <w:t>ntroduction de la Déclaration RenewPAC, reflétant le thème du Sommet de cette année :</w:t>
      </w:r>
    </w:p>
    <w:p w:rsidR="00C24B5D" w:rsidRDefault="00C24B5D" w:rsidP="00C24B5D">
      <w:pPr>
        <w:ind w:left="720"/>
        <w:jc w:val="left"/>
        <w:rPr>
          <w:rFonts w:asciiTheme="minorHAnsi" w:eastAsia="Times New Roman" w:hAnsiTheme="minorHAnsi" w:cstheme="minorHAnsi"/>
          <w:i/>
          <w:sz w:val="22"/>
          <w:szCs w:val="22"/>
          <w:lang w:val="fr-FR" w:eastAsia="en-GB"/>
        </w:rPr>
      </w:pPr>
      <w:r w:rsidRPr="00C24B5D">
        <w:rPr>
          <w:rFonts w:asciiTheme="minorHAnsi" w:eastAsia="Times New Roman" w:hAnsiTheme="minorHAnsi" w:cstheme="minorHAnsi"/>
          <w:i/>
          <w:sz w:val="22"/>
          <w:szCs w:val="22"/>
          <w:lang w:val="fr-FR" w:eastAsia="en-GB"/>
        </w:rPr>
        <w:t>« Partenaires dans le Progrès : Renforcer la Compétitivité UE-Afrique pour une Croissance Durable. »</w:t>
      </w:r>
    </w:p>
    <w:p w:rsidR="00C24B5D" w:rsidRPr="00C24B5D" w:rsidRDefault="00C24B5D" w:rsidP="00C24B5D">
      <w:pPr>
        <w:ind w:left="720"/>
        <w:jc w:val="left"/>
        <w:rPr>
          <w:rFonts w:asciiTheme="minorHAnsi" w:eastAsia="Times New Roman" w:hAnsiTheme="minorHAnsi" w:cstheme="minorHAnsi"/>
          <w:sz w:val="22"/>
          <w:szCs w:val="22"/>
          <w:lang w:val="fr-FR" w:eastAsia="en-GB"/>
        </w:rPr>
      </w:pPr>
    </w:p>
    <w:p w:rsidR="00C24B5D" w:rsidRPr="00C24B5D" w:rsidRDefault="00C24B5D" w:rsidP="00C24B5D">
      <w:pPr>
        <w:numPr>
          <w:ilvl w:val="0"/>
          <w:numId w:val="1"/>
        </w:numPr>
        <w:jc w:val="left"/>
        <w:rPr>
          <w:rFonts w:asciiTheme="minorHAnsi" w:eastAsia="Times New Roman" w:hAnsiTheme="minorHAnsi" w:cstheme="minorHAnsi"/>
          <w:b/>
          <w:sz w:val="22"/>
          <w:szCs w:val="22"/>
          <w:lang w:val="fr-FR" w:eastAsia="en-GB"/>
        </w:rPr>
      </w:pPr>
      <w:r w:rsidRPr="00C24B5D">
        <w:rPr>
          <w:rFonts w:asciiTheme="minorHAnsi" w:eastAsia="Times New Roman" w:hAnsiTheme="minorHAnsi" w:cstheme="minorHAnsi"/>
          <w:b/>
          <w:sz w:val="22"/>
          <w:szCs w:val="22"/>
          <w:lang w:val="fr-FR" w:eastAsia="en-GB"/>
        </w:rPr>
        <w:t>Discours de Haut Niveau : Libérer la Compétitivité UE-Afrique pour une Croissance Durable</w:t>
      </w:r>
    </w:p>
    <w:p w:rsidR="00C24B5D" w:rsidRPr="00C24B5D" w:rsidRDefault="00C24B5D" w:rsidP="00C24B5D">
      <w:pPr>
        <w:ind w:left="720"/>
        <w:jc w:val="left"/>
        <w:rPr>
          <w:rFonts w:asciiTheme="minorHAnsi" w:eastAsia="Times New Roman" w:hAnsiTheme="minorHAnsi" w:cstheme="minorHAnsi"/>
          <w:sz w:val="22"/>
          <w:szCs w:val="22"/>
          <w:lang w:val="fr-FR" w:eastAsia="en-GB"/>
        </w:rPr>
      </w:pPr>
      <w:r w:rsidRPr="00C24B5D">
        <w:rPr>
          <w:rFonts w:asciiTheme="minorHAnsi" w:eastAsia="Times New Roman" w:hAnsiTheme="minorHAnsi" w:cstheme="minorHAnsi"/>
          <w:sz w:val="22"/>
          <w:szCs w:val="22"/>
          <w:lang w:val="fr-FR" w:eastAsia="en-GB"/>
        </w:rPr>
        <w:t xml:space="preserve"> </w:t>
      </w:r>
    </w:p>
    <w:p w:rsidR="00C24B5D" w:rsidRDefault="00C24B5D" w:rsidP="00C24B5D">
      <w:pPr>
        <w:ind w:left="720"/>
        <w:jc w:val="left"/>
        <w:rPr>
          <w:rFonts w:asciiTheme="minorHAnsi" w:eastAsia="Times New Roman" w:hAnsiTheme="minorHAnsi" w:cstheme="minorHAnsi"/>
          <w:bCs/>
          <w:sz w:val="22"/>
          <w:szCs w:val="22"/>
          <w:lang w:val="fr-FR" w:eastAsia="en-GB"/>
        </w:rPr>
      </w:pPr>
      <w:r w:rsidRPr="00C24B5D">
        <w:rPr>
          <w:rFonts w:asciiTheme="minorHAnsi" w:eastAsia="Times New Roman" w:hAnsiTheme="minorHAnsi" w:cstheme="minorHAnsi"/>
          <w:b/>
          <w:bCs/>
          <w:sz w:val="22"/>
          <w:szCs w:val="22"/>
          <w:lang w:val="fr-FR" w:eastAsia="en-GB"/>
        </w:rPr>
        <w:t xml:space="preserve">Le Premier ministre Robert Beugré Mambé </w:t>
      </w:r>
      <w:r w:rsidRPr="00C24B5D">
        <w:rPr>
          <w:rFonts w:asciiTheme="minorHAnsi" w:eastAsia="Times New Roman" w:hAnsiTheme="minorHAnsi" w:cstheme="minorHAnsi"/>
          <w:bCs/>
          <w:sz w:val="22"/>
          <w:szCs w:val="22"/>
          <w:lang w:val="fr-FR" w:eastAsia="en-GB"/>
        </w:rPr>
        <w:t xml:space="preserve">prononcera un discours clé sur l’avenir de la coopération économique entre l’UE et l’Afrique, mettant en avant le rôle de l’investissement, de l’innovation et des partenariats stratégiques pour stimuler une croissance durable. À la suite de cette allocution, </w:t>
      </w:r>
      <w:r w:rsidRPr="00C24B5D">
        <w:rPr>
          <w:rFonts w:asciiTheme="minorHAnsi" w:eastAsia="Times New Roman" w:hAnsiTheme="minorHAnsi" w:cstheme="minorHAnsi"/>
          <w:b/>
          <w:bCs/>
          <w:sz w:val="22"/>
          <w:szCs w:val="22"/>
          <w:lang w:val="fr-FR" w:eastAsia="en-GB"/>
        </w:rPr>
        <w:t>le président de RenewPAC, Jan-Christoph Oetjen</w:t>
      </w:r>
      <w:r w:rsidRPr="00C24B5D">
        <w:rPr>
          <w:rFonts w:asciiTheme="minorHAnsi" w:eastAsia="Times New Roman" w:hAnsiTheme="minorHAnsi" w:cstheme="minorHAnsi"/>
          <w:bCs/>
          <w:sz w:val="22"/>
          <w:szCs w:val="22"/>
          <w:lang w:val="fr-FR" w:eastAsia="en-GB"/>
        </w:rPr>
        <w:t>, mènera une brève interview avec le Premier ministre afin d’explorer plus en profondeur sa vision des relations UE-Afrique.</w:t>
      </w:r>
    </w:p>
    <w:p w:rsidR="00C24B5D" w:rsidRDefault="00C24B5D" w:rsidP="00C24B5D">
      <w:pPr>
        <w:ind w:left="720"/>
        <w:jc w:val="left"/>
        <w:rPr>
          <w:rFonts w:asciiTheme="minorHAnsi" w:eastAsia="Times New Roman" w:hAnsiTheme="minorHAnsi" w:cstheme="minorHAnsi"/>
          <w:bCs/>
          <w:sz w:val="22"/>
          <w:szCs w:val="22"/>
          <w:lang w:val="fr-FR" w:eastAsia="en-GB"/>
        </w:rPr>
      </w:pPr>
    </w:p>
    <w:p w:rsidR="00C24B5D" w:rsidRPr="00C24B5D" w:rsidRDefault="00C24B5D" w:rsidP="00C24B5D">
      <w:pPr>
        <w:ind w:left="720"/>
        <w:jc w:val="left"/>
        <w:rPr>
          <w:rFonts w:asciiTheme="minorHAnsi" w:eastAsia="Times New Roman" w:hAnsiTheme="minorHAnsi" w:cstheme="minorHAnsi"/>
          <w:sz w:val="22"/>
          <w:szCs w:val="22"/>
          <w:lang w:val="fr-FR" w:eastAsia="en-GB"/>
        </w:rPr>
      </w:pPr>
    </w:p>
    <w:p w:rsidR="00C24B5D" w:rsidRPr="00C24B5D" w:rsidRDefault="00C24B5D" w:rsidP="00C24B5D">
      <w:pPr>
        <w:numPr>
          <w:ilvl w:val="0"/>
          <w:numId w:val="1"/>
        </w:numPr>
        <w:jc w:val="left"/>
        <w:rPr>
          <w:rFonts w:asciiTheme="minorHAnsi" w:eastAsia="Times New Roman" w:hAnsiTheme="minorHAnsi" w:cstheme="minorHAnsi"/>
          <w:b/>
          <w:sz w:val="22"/>
          <w:szCs w:val="22"/>
          <w:lang w:val="fr-FR" w:eastAsia="en-GB"/>
        </w:rPr>
      </w:pPr>
      <w:r w:rsidRPr="00C24B5D">
        <w:rPr>
          <w:rFonts w:asciiTheme="minorHAnsi" w:eastAsia="Times New Roman" w:hAnsiTheme="minorHAnsi" w:cstheme="minorHAnsi"/>
          <w:b/>
          <w:sz w:val="22"/>
          <w:szCs w:val="22"/>
          <w:lang w:val="fr-FR" w:eastAsia="en-GB"/>
        </w:rPr>
        <w:t>Adoption et Signature de la Déclaration RenewPAC</w:t>
      </w:r>
    </w:p>
    <w:p w:rsidR="00C24B5D" w:rsidRPr="00C24B5D" w:rsidRDefault="00C24B5D" w:rsidP="00C24B5D">
      <w:pPr>
        <w:ind w:left="720"/>
        <w:jc w:val="left"/>
        <w:rPr>
          <w:rFonts w:asciiTheme="minorHAnsi" w:eastAsia="Times New Roman" w:hAnsiTheme="minorHAnsi" w:cstheme="minorHAnsi"/>
          <w:sz w:val="22"/>
          <w:szCs w:val="22"/>
          <w:lang w:val="fr-FR" w:eastAsia="en-GB"/>
        </w:rPr>
      </w:pPr>
    </w:p>
    <w:p w:rsidR="00C24B5D" w:rsidRPr="00C24B5D" w:rsidRDefault="00C24B5D" w:rsidP="00C24B5D">
      <w:pPr>
        <w:numPr>
          <w:ilvl w:val="0"/>
          <w:numId w:val="1"/>
        </w:numPr>
        <w:jc w:val="left"/>
        <w:rPr>
          <w:rFonts w:asciiTheme="minorHAnsi" w:eastAsia="Times New Roman" w:hAnsiTheme="minorHAnsi" w:cstheme="minorHAnsi"/>
          <w:b/>
          <w:sz w:val="22"/>
          <w:szCs w:val="22"/>
          <w:lang w:eastAsia="en-GB"/>
        </w:rPr>
      </w:pPr>
      <w:r w:rsidRPr="00C24B5D">
        <w:rPr>
          <w:rFonts w:asciiTheme="minorHAnsi" w:eastAsia="Times New Roman" w:hAnsiTheme="minorHAnsi" w:cstheme="minorHAnsi"/>
          <w:b/>
          <w:sz w:val="22"/>
          <w:szCs w:val="22"/>
          <w:lang w:eastAsia="en-GB"/>
        </w:rPr>
        <w:t>Remarques de clôture</w:t>
      </w:r>
    </w:p>
    <w:p w:rsidR="008765BE" w:rsidRDefault="008765BE"/>
    <w:sectPr w:rsidR="008765BE" w:rsidSect="001D69B3">
      <w:headerReference w:type="default" r:id="rId7"/>
      <w:pgSz w:w="11906" w:h="16838"/>
      <w:pgMar w:top="1440"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C413A">
      <w:r>
        <w:separator/>
      </w:r>
    </w:p>
  </w:endnote>
  <w:endnote w:type="continuationSeparator" w:id="0">
    <w:p w:rsidR="00000000" w:rsidRDefault="000C4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C413A">
      <w:r>
        <w:separator/>
      </w:r>
    </w:p>
  </w:footnote>
  <w:footnote w:type="continuationSeparator" w:id="0">
    <w:p w:rsidR="00000000" w:rsidRDefault="000C4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9B3" w:rsidRDefault="000C413A" w:rsidP="001D69B3">
    <w:pPr>
      <w:pStyle w:val="Header"/>
      <w:jc w:val="center"/>
    </w:pPr>
    <w:r>
      <w:rPr>
        <w:noProof/>
        <w:lang w:eastAsia="en-GB"/>
      </w:rPr>
      <w:drawing>
        <wp:inline distT="0" distB="0" distL="0" distR="0" wp14:anchorId="47BC6246" wp14:editId="2112F218">
          <wp:extent cx="4977517" cy="13725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newpac_invert-logo.png"/>
                  <pic:cNvPicPr/>
                </pic:nvPicPr>
                <pic:blipFill>
                  <a:blip r:embed="rId1">
                    <a:extLst>
                      <a:ext uri="{28A0092B-C50C-407E-A947-70E740481C1C}">
                        <a14:useLocalDpi xmlns:a14="http://schemas.microsoft.com/office/drawing/2010/main" val="0"/>
                      </a:ext>
                    </a:extLst>
                  </a:blip>
                  <a:stretch>
                    <a:fillRect/>
                  </a:stretch>
                </pic:blipFill>
                <pic:spPr>
                  <a:xfrm>
                    <a:off x="0" y="0"/>
                    <a:ext cx="4992541" cy="13767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04ED3"/>
    <w:multiLevelType w:val="multilevel"/>
    <w:tmpl w:val="83FCD4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7B0818"/>
    <w:multiLevelType w:val="multilevel"/>
    <w:tmpl w:val="61F2E9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B5D"/>
    <w:rsid w:val="000C413A"/>
    <w:rsid w:val="00315448"/>
    <w:rsid w:val="005762E3"/>
    <w:rsid w:val="008765BE"/>
    <w:rsid w:val="00C24B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085FC"/>
  <w15:chartTrackingRefBased/>
  <w15:docId w15:val="{74EBDE62-C015-44A9-ADB3-E96CF3D28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 w:type="paragraph" w:styleId="Header">
    <w:name w:val="header"/>
    <w:basedOn w:val="Normal"/>
    <w:link w:val="HeaderChar"/>
    <w:uiPriority w:val="99"/>
    <w:unhideWhenUsed/>
    <w:rsid w:val="00C24B5D"/>
    <w:pPr>
      <w:tabs>
        <w:tab w:val="center" w:pos="4513"/>
        <w:tab w:val="right" w:pos="9026"/>
      </w:tabs>
    </w:pPr>
  </w:style>
  <w:style w:type="character" w:customStyle="1" w:styleId="HeaderChar">
    <w:name w:val="Header Char"/>
    <w:basedOn w:val="DefaultParagraphFont"/>
    <w:link w:val="Header"/>
    <w:uiPriority w:val="99"/>
    <w:rsid w:val="00C24B5D"/>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254</Words>
  <Characters>1478</Characters>
  <Application>Microsoft Office Word</Application>
  <DocSecurity>0</DocSecurity>
  <Lines>30</Lines>
  <Paragraphs>7</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GOLEANU Lucian</dc:creator>
  <cp:keywords/>
  <dc:description/>
  <cp:lastModifiedBy>GOLEANU Lucian</cp:lastModifiedBy>
  <cp:revision>2</cp:revision>
  <dcterms:created xsi:type="dcterms:W3CDTF">2025-02-21T09:27:00Z</dcterms:created>
  <dcterms:modified xsi:type="dcterms:W3CDTF">2025-02-21T15:33:00Z</dcterms:modified>
</cp:coreProperties>
</file>